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AAB" w:rsidRDefault="00887AAB" w:rsidP="00887AAB">
      <w:pPr>
        <w:pStyle w:val="Normal1"/>
        <w:spacing w:line="360" w:lineRule="auto"/>
        <w:jc w:val="center"/>
        <w:rPr>
          <w:rFonts w:ascii="Times New Roman" w:hAnsi="Times New Roman" w:cs="Times New Roman"/>
          <w:color w:val="0E101A"/>
          <w:sz w:val="24"/>
          <w:szCs w:val="24"/>
        </w:rPr>
      </w:pPr>
    </w:p>
    <w:p w:rsidR="00C668D9" w:rsidRDefault="00C668D9" w:rsidP="00887AAB">
      <w:pPr>
        <w:pStyle w:val="Normal1"/>
        <w:spacing w:line="360" w:lineRule="auto"/>
        <w:jc w:val="center"/>
        <w:rPr>
          <w:rFonts w:ascii="Times New Roman" w:hAnsi="Times New Roman" w:cs="Times New Roman"/>
          <w:color w:val="0E101A"/>
          <w:sz w:val="24"/>
          <w:szCs w:val="24"/>
        </w:rPr>
      </w:pPr>
    </w:p>
    <w:p w:rsidR="00C668D9" w:rsidRDefault="00C668D9" w:rsidP="00887AAB">
      <w:pPr>
        <w:pStyle w:val="Normal1"/>
        <w:spacing w:line="360" w:lineRule="auto"/>
        <w:jc w:val="center"/>
        <w:rPr>
          <w:rFonts w:ascii="Times New Roman" w:hAnsi="Times New Roman" w:cs="Times New Roman"/>
          <w:color w:val="0E101A"/>
          <w:sz w:val="24"/>
          <w:szCs w:val="24"/>
        </w:rPr>
      </w:pPr>
    </w:p>
    <w:p w:rsidR="00887AAB" w:rsidRDefault="00887AAB" w:rsidP="00887AAB">
      <w:pPr>
        <w:pStyle w:val="Normal1"/>
        <w:spacing w:line="360" w:lineRule="auto"/>
        <w:jc w:val="center"/>
        <w:rPr>
          <w:rFonts w:ascii="Times New Roman" w:hAnsi="Times New Roman" w:cs="Times New Roman"/>
          <w:color w:val="0E101A"/>
          <w:sz w:val="24"/>
          <w:szCs w:val="24"/>
        </w:rPr>
      </w:pPr>
    </w:p>
    <w:p w:rsidR="00887AAB" w:rsidRDefault="00887AAB" w:rsidP="00887AAB">
      <w:pPr>
        <w:pStyle w:val="Normal1"/>
        <w:spacing w:line="360" w:lineRule="auto"/>
        <w:jc w:val="center"/>
        <w:rPr>
          <w:rFonts w:ascii="Times New Roman" w:hAnsi="Times New Roman" w:cs="Times New Roman"/>
          <w:color w:val="0E101A"/>
          <w:sz w:val="24"/>
          <w:szCs w:val="24"/>
        </w:rPr>
      </w:pPr>
    </w:p>
    <w:p w:rsidR="00887AAB" w:rsidRDefault="00887AAB" w:rsidP="00887AAB">
      <w:pPr>
        <w:pStyle w:val="Normal1"/>
        <w:spacing w:line="360" w:lineRule="auto"/>
        <w:jc w:val="center"/>
        <w:rPr>
          <w:rFonts w:ascii="Times New Roman" w:hAnsi="Times New Roman" w:cs="Times New Roman"/>
          <w:color w:val="0E101A"/>
          <w:sz w:val="24"/>
          <w:szCs w:val="24"/>
        </w:rPr>
      </w:pPr>
    </w:p>
    <w:p w:rsidR="00887AAB" w:rsidRDefault="00887AAB" w:rsidP="00887AAB">
      <w:pPr>
        <w:pStyle w:val="Normal1"/>
        <w:spacing w:line="360" w:lineRule="auto"/>
        <w:jc w:val="center"/>
        <w:rPr>
          <w:rFonts w:ascii="Times New Roman" w:hAnsi="Times New Roman" w:cs="Times New Roman"/>
          <w:color w:val="0E101A"/>
          <w:sz w:val="24"/>
          <w:szCs w:val="24"/>
        </w:rPr>
      </w:pPr>
    </w:p>
    <w:p w:rsidR="00887AAB" w:rsidRDefault="00887AAB" w:rsidP="00887AAB">
      <w:pPr>
        <w:pStyle w:val="Normal1"/>
        <w:spacing w:line="360" w:lineRule="auto"/>
        <w:jc w:val="center"/>
        <w:rPr>
          <w:rFonts w:ascii="Times New Roman" w:hAnsi="Times New Roman" w:cs="Times New Roman"/>
          <w:color w:val="0E101A"/>
          <w:sz w:val="24"/>
          <w:szCs w:val="24"/>
        </w:rPr>
      </w:pPr>
    </w:p>
    <w:p w:rsidR="00887AAB" w:rsidRDefault="00887AAB" w:rsidP="00887AAB">
      <w:pPr>
        <w:pStyle w:val="Normal1"/>
        <w:spacing w:line="360" w:lineRule="auto"/>
        <w:jc w:val="center"/>
        <w:rPr>
          <w:rFonts w:ascii="Times New Roman" w:hAnsi="Times New Roman" w:cs="Times New Roman"/>
          <w:color w:val="0E101A"/>
          <w:sz w:val="24"/>
          <w:szCs w:val="24"/>
        </w:rPr>
      </w:pPr>
    </w:p>
    <w:p w:rsidR="00141E89" w:rsidRDefault="00141E89" w:rsidP="00887AAB">
      <w:pPr>
        <w:pStyle w:val="Normal1"/>
        <w:spacing w:line="360" w:lineRule="auto"/>
        <w:jc w:val="center"/>
        <w:rPr>
          <w:rFonts w:ascii="Times New Roman" w:hAnsi="Times New Roman" w:cs="Times New Roman"/>
          <w:color w:val="0E101A"/>
          <w:sz w:val="24"/>
          <w:szCs w:val="24"/>
        </w:rPr>
      </w:pPr>
    </w:p>
    <w:p w:rsidR="00887AAB" w:rsidRDefault="00887AAB" w:rsidP="00327D3B">
      <w:pPr>
        <w:pStyle w:val="Normal1"/>
        <w:spacing w:line="360" w:lineRule="auto"/>
        <w:jc w:val="center"/>
        <w:rPr>
          <w:rFonts w:ascii="Times New Roman" w:hAnsi="Times New Roman" w:cs="Times New Roman"/>
          <w:color w:val="0E101A"/>
          <w:sz w:val="24"/>
          <w:szCs w:val="24"/>
        </w:rPr>
      </w:pPr>
    </w:p>
    <w:p w:rsidR="00887AAB" w:rsidRPr="00887AAB" w:rsidRDefault="007D103F" w:rsidP="00327D3B">
      <w:pPr>
        <w:pStyle w:val="Normal1"/>
        <w:spacing w:line="48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rPr>
        <w:t>Orang Asli Rights</w:t>
      </w:r>
    </w:p>
    <w:p w:rsidR="00887AAB" w:rsidRPr="00887AAB" w:rsidRDefault="00055D7A" w:rsidP="00327D3B">
      <w:pPr>
        <w:spacing w:after="0" w:line="480" w:lineRule="auto"/>
        <w:jc w:val="center"/>
        <w:rPr>
          <w:rFonts w:ascii="Times New Roman" w:hAnsi="Times New Roman" w:cs="Times New Roman"/>
          <w:sz w:val="24"/>
          <w:szCs w:val="24"/>
        </w:rPr>
      </w:pPr>
      <w:r w:rsidRPr="00887AAB">
        <w:rPr>
          <w:rFonts w:ascii="Times New Roman" w:hAnsi="Times New Roman" w:cs="Times New Roman"/>
          <w:sz w:val="24"/>
          <w:szCs w:val="24"/>
        </w:rPr>
        <w:t>Name</w:t>
      </w:r>
    </w:p>
    <w:p w:rsidR="00887AAB" w:rsidRPr="00887AAB" w:rsidRDefault="00055D7A" w:rsidP="00327D3B">
      <w:pPr>
        <w:spacing w:after="0" w:line="480" w:lineRule="auto"/>
        <w:jc w:val="center"/>
        <w:rPr>
          <w:rFonts w:ascii="Times New Roman" w:hAnsi="Times New Roman" w:cs="Times New Roman"/>
          <w:sz w:val="24"/>
          <w:szCs w:val="24"/>
        </w:rPr>
      </w:pPr>
      <w:r w:rsidRPr="00887AAB">
        <w:rPr>
          <w:rFonts w:ascii="Times New Roman" w:hAnsi="Times New Roman" w:cs="Times New Roman"/>
          <w:sz w:val="24"/>
          <w:szCs w:val="24"/>
        </w:rPr>
        <w:t>Institution</w:t>
      </w:r>
    </w:p>
    <w:p w:rsidR="00887AAB" w:rsidRPr="00887AAB" w:rsidRDefault="00055D7A" w:rsidP="00327D3B">
      <w:pPr>
        <w:spacing w:after="0" w:line="480" w:lineRule="auto"/>
        <w:jc w:val="center"/>
        <w:rPr>
          <w:rFonts w:ascii="Times New Roman" w:hAnsi="Times New Roman" w:cs="Times New Roman"/>
          <w:sz w:val="24"/>
          <w:szCs w:val="24"/>
        </w:rPr>
      </w:pPr>
      <w:r w:rsidRPr="00887AAB">
        <w:rPr>
          <w:rFonts w:ascii="Times New Roman" w:hAnsi="Times New Roman" w:cs="Times New Roman"/>
          <w:sz w:val="24"/>
          <w:szCs w:val="24"/>
        </w:rPr>
        <w:t>Date</w:t>
      </w:r>
    </w:p>
    <w:p w:rsidR="00986EE9" w:rsidRDefault="00986EE9" w:rsidP="00327D3B">
      <w:pPr>
        <w:spacing w:after="0" w:line="480" w:lineRule="auto"/>
        <w:ind w:firstLine="720"/>
        <w:rPr>
          <w:rFonts w:ascii="Times New Roman" w:hAnsi="Times New Roman" w:cs="Times New Roman"/>
          <w:sz w:val="24"/>
          <w:szCs w:val="24"/>
        </w:rPr>
      </w:pPr>
    </w:p>
    <w:p w:rsidR="00986EE9" w:rsidRDefault="00986EE9" w:rsidP="00DE2B8D">
      <w:pPr>
        <w:spacing w:line="480" w:lineRule="auto"/>
        <w:ind w:firstLine="720"/>
        <w:rPr>
          <w:rFonts w:ascii="Times New Roman" w:hAnsi="Times New Roman" w:cs="Times New Roman"/>
          <w:sz w:val="24"/>
          <w:szCs w:val="24"/>
        </w:rPr>
      </w:pPr>
    </w:p>
    <w:p w:rsidR="00986EE9" w:rsidRDefault="00986EE9" w:rsidP="00DE2B8D">
      <w:pPr>
        <w:spacing w:line="480" w:lineRule="auto"/>
        <w:ind w:firstLine="720"/>
        <w:rPr>
          <w:rFonts w:ascii="Times New Roman" w:hAnsi="Times New Roman" w:cs="Times New Roman"/>
          <w:sz w:val="24"/>
          <w:szCs w:val="24"/>
        </w:rPr>
      </w:pPr>
    </w:p>
    <w:p w:rsidR="00986EE9" w:rsidRDefault="00986EE9" w:rsidP="00DE2B8D">
      <w:pPr>
        <w:spacing w:line="480" w:lineRule="auto"/>
        <w:ind w:firstLine="720"/>
        <w:rPr>
          <w:rFonts w:ascii="Times New Roman" w:hAnsi="Times New Roman" w:cs="Times New Roman"/>
          <w:sz w:val="24"/>
          <w:szCs w:val="24"/>
        </w:rPr>
      </w:pPr>
    </w:p>
    <w:p w:rsidR="00986EE9" w:rsidRDefault="00986EE9" w:rsidP="00DE2B8D">
      <w:pPr>
        <w:spacing w:line="480" w:lineRule="auto"/>
        <w:ind w:firstLine="720"/>
        <w:rPr>
          <w:rFonts w:ascii="Times New Roman" w:hAnsi="Times New Roman" w:cs="Times New Roman"/>
          <w:sz w:val="24"/>
          <w:szCs w:val="24"/>
        </w:rPr>
      </w:pPr>
    </w:p>
    <w:p w:rsidR="00986EE9" w:rsidRDefault="00986EE9" w:rsidP="00DE2B8D">
      <w:pPr>
        <w:spacing w:line="480" w:lineRule="auto"/>
        <w:ind w:firstLine="720"/>
        <w:rPr>
          <w:rFonts w:ascii="Times New Roman" w:hAnsi="Times New Roman" w:cs="Times New Roman"/>
          <w:sz w:val="24"/>
          <w:szCs w:val="24"/>
        </w:rPr>
      </w:pPr>
    </w:p>
    <w:p w:rsidR="00986EE9" w:rsidRDefault="00986EE9" w:rsidP="00DE2B8D">
      <w:pPr>
        <w:spacing w:line="480" w:lineRule="auto"/>
        <w:ind w:firstLine="720"/>
        <w:rPr>
          <w:rFonts w:ascii="Times New Roman" w:hAnsi="Times New Roman" w:cs="Times New Roman"/>
          <w:sz w:val="24"/>
          <w:szCs w:val="24"/>
        </w:rPr>
      </w:pPr>
    </w:p>
    <w:p w:rsidR="00327D3B" w:rsidRDefault="00327D3B" w:rsidP="00DE2B8D">
      <w:pPr>
        <w:spacing w:line="480" w:lineRule="auto"/>
        <w:ind w:firstLine="720"/>
        <w:rPr>
          <w:rFonts w:ascii="Times New Roman" w:hAnsi="Times New Roman" w:cs="Times New Roman"/>
          <w:sz w:val="24"/>
          <w:szCs w:val="24"/>
        </w:rPr>
      </w:pPr>
    </w:p>
    <w:p w:rsidR="00327D3B" w:rsidRDefault="00327D3B" w:rsidP="00DE2B8D">
      <w:pPr>
        <w:spacing w:line="480" w:lineRule="auto"/>
        <w:ind w:firstLine="720"/>
        <w:rPr>
          <w:rFonts w:ascii="Times New Roman" w:hAnsi="Times New Roman" w:cs="Times New Roman"/>
          <w:sz w:val="24"/>
          <w:szCs w:val="24"/>
        </w:rPr>
      </w:pPr>
    </w:p>
    <w:p w:rsidR="00986EE9" w:rsidRDefault="00986EE9" w:rsidP="00C668D9">
      <w:pPr>
        <w:spacing w:line="480" w:lineRule="auto"/>
        <w:rPr>
          <w:rFonts w:ascii="Times New Roman" w:hAnsi="Times New Roman" w:cs="Times New Roman"/>
          <w:sz w:val="24"/>
          <w:szCs w:val="24"/>
        </w:rPr>
      </w:pPr>
    </w:p>
    <w:p w:rsidR="00986EE9" w:rsidRDefault="00055D7A" w:rsidP="00986EE9">
      <w:pPr>
        <w:pStyle w:val="Normal1"/>
        <w:spacing w:line="360" w:lineRule="auto"/>
        <w:jc w:val="center"/>
        <w:rPr>
          <w:rFonts w:ascii="Times New Roman" w:hAnsi="Times New Roman" w:cs="Times New Roman"/>
          <w:color w:val="0E101A"/>
          <w:sz w:val="24"/>
          <w:szCs w:val="24"/>
        </w:rPr>
      </w:pPr>
      <w:r w:rsidRPr="00887AAB">
        <w:rPr>
          <w:rFonts w:ascii="Times New Roman" w:hAnsi="Times New Roman" w:cs="Times New Roman"/>
          <w:color w:val="0E101A"/>
          <w:sz w:val="24"/>
          <w:szCs w:val="24"/>
        </w:rPr>
        <w:lastRenderedPageBreak/>
        <w:t>Orang Asli Rights</w:t>
      </w:r>
    </w:p>
    <w:p w:rsidR="00141E89" w:rsidRPr="00141E89" w:rsidRDefault="00141E89" w:rsidP="00141E89">
      <w:pPr>
        <w:spacing w:line="480" w:lineRule="auto"/>
        <w:ind w:firstLine="720"/>
        <w:rPr>
          <w:rFonts w:ascii="Times New Roman" w:hAnsi="Times New Roman" w:cs="Times New Roman"/>
          <w:sz w:val="24"/>
          <w:szCs w:val="24"/>
        </w:rPr>
      </w:pPr>
      <w:r w:rsidRPr="00141E89">
        <w:rPr>
          <w:rFonts w:ascii="Times New Roman" w:hAnsi="Times New Roman" w:cs="Times New Roman"/>
          <w:sz w:val="24"/>
          <w:szCs w:val="24"/>
        </w:rPr>
        <w:t>The Orang Asli, also known as the Orang Asli Affairs Department is a department, which is lower than the Malaysian Rural Development ministry, was consigned by the government to manage its interests. It was established in 1954 with the aims of eradicating scarceness, improving health conditions, promoting education as well as enhancing the general livelihood. The Orang Asli concerns the life affairs of the people to curb the high incidences of poverty among the people. Evidently, in the year 1997, 80% lived below the poverty line. This percentage was considered exceptionally high when compared to the state poverty ratio of 8.5%, therefore enhancing the need to instill ways of eradicating poverty.</w:t>
      </w:r>
    </w:p>
    <w:p w:rsidR="00141E89" w:rsidRPr="00141E89" w:rsidRDefault="00141E89" w:rsidP="00141E89">
      <w:pPr>
        <w:spacing w:line="480" w:lineRule="auto"/>
        <w:ind w:firstLine="720"/>
        <w:rPr>
          <w:rFonts w:ascii="Times New Roman" w:hAnsi="Times New Roman" w:cs="Times New Roman"/>
          <w:sz w:val="24"/>
          <w:szCs w:val="24"/>
        </w:rPr>
      </w:pPr>
      <w:r w:rsidRPr="00141E89">
        <w:rPr>
          <w:rFonts w:ascii="Times New Roman" w:hAnsi="Times New Roman" w:cs="Times New Roman"/>
          <w:sz w:val="24"/>
          <w:szCs w:val="24"/>
        </w:rPr>
        <w:t xml:space="preserve">Mainly, various laws touched the traditional lands and resources of the Orang Asli. However, the rules were not subsequent in defending these rights despite the local laws set to support the recognition of these rights. The various legislations that alarmed the Orang Asli included the National Land Code of 1965, The Land Conservation Act of 1960, Shield of Wildlife Act of 1972, State Parks Act of 1980, as well as the Aboriginal Peoples Act of 1954. The Aboriginal Peoples Act of 1954 served to produce and establish the department of Orang Asli Reserve Terrestrial. More so, the act was inclusive of the power conferred to the JHEOA director General to order Orang Asli out of setting aside Land at his freedom of choice. Again, the law, by the help of the Director of the JHEOA, was legally liable to award recompense to affected people, at its preference. </w:t>
      </w:r>
    </w:p>
    <w:p w:rsidR="00141E89" w:rsidRPr="00141E89" w:rsidRDefault="00141E89" w:rsidP="00141E89">
      <w:pPr>
        <w:spacing w:line="480" w:lineRule="auto"/>
        <w:ind w:firstLine="720"/>
        <w:rPr>
          <w:rFonts w:ascii="Times New Roman" w:hAnsi="Times New Roman" w:cs="Times New Roman"/>
          <w:sz w:val="24"/>
          <w:szCs w:val="24"/>
        </w:rPr>
      </w:pPr>
      <w:r w:rsidRPr="00141E89">
        <w:rPr>
          <w:rFonts w:ascii="Times New Roman" w:hAnsi="Times New Roman" w:cs="Times New Roman"/>
          <w:sz w:val="24"/>
          <w:szCs w:val="24"/>
        </w:rPr>
        <w:t xml:space="preserve">Primarily, the 2002 situation of the Sagong bin Tasi land mark land rights case of Malaysia. The interest of the case was its state of using its authorities huddled under the 1954 Act to force out the association of Orang Asli from Orang Asli Reserve Land-dwelling. The eviction by the state government of Selangor gave them four days to leave. In the course of the evacuation, the state demolished their households and plantations intending to create space for the new Nilai-KLIA Main road towards the Kuala Lumpur Airport. However, due </w:t>
      </w:r>
      <w:r w:rsidRPr="00141E89">
        <w:rPr>
          <w:rFonts w:ascii="Times New Roman" w:hAnsi="Times New Roman" w:cs="Times New Roman"/>
          <w:sz w:val="24"/>
          <w:szCs w:val="24"/>
        </w:rPr>
        <w:lastRenderedPageBreak/>
        <w:t>to the need and urgency to complete the Nilai-KLIA highway for Kuala Lumpur's public games, the process was hasty and without any due process of negotiation and evaluation. However, the state was not convicted of such a case. Instead, the High Court ruled in favor of the Sagong Tasi.</w:t>
      </w:r>
    </w:p>
    <w:p w:rsidR="00141E89" w:rsidRPr="00141E89" w:rsidRDefault="00141E89" w:rsidP="00141E89">
      <w:pPr>
        <w:spacing w:line="480" w:lineRule="auto"/>
        <w:ind w:firstLine="720"/>
        <w:rPr>
          <w:rFonts w:ascii="Times New Roman" w:hAnsi="Times New Roman" w:cs="Times New Roman"/>
          <w:sz w:val="24"/>
          <w:szCs w:val="24"/>
        </w:rPr>
      </w:pPr>
      <w:r w:rsidRPr="00141E89">
        <w:rPr>
          <w:rFonts w:ascii="Times New Roman" w:hAnsi="Times New Roman" w:cs="Times New Roman"/>
          <w:sz w:val="24"/>
          <w:szCs w:val="24"/>
        </w:rPr>
        <w:t xml:space="preserve">The Malaysians, which included the Orang Asli, protested against the Australian mining company of rare-earths called Lynasfrom operating in Malaysia. Arguably, rare-earths is a set of seventeen chemicals, specifically the fifteen lanthanides and the scandium, which occur at similar ore deposits. Therefore, these chemicals were a threat to Malaysia and thus causing the protest of the mining. The Orang Asli fell under the classification of Bumiputras. This status signified the identity of Malaysia, which was responsible for carrying out certain social, economic, and political rights that were related to the Malays as well as the natives of Sabah and Sarawak. However, despite the Malays being the natives of the Land, the status was not mentioned in the constitution. The Mahathir Mohamad was lined up to this by making statements that regard the Orang Asli, claiming that they were not eligible for more privileges than Malays. However, the spokespeople and advocates for the Orang Asli criticized by arguing that the Orang Asli anticipated being acknowledged as the real inhabitants of Malaysia. </w:t>
      </w:r>
    </w:p>
    <w:p w:rsidR="00141E89" w:rsidRPr="00141E89" w:rsidRDefault="00141E89" w:rsidP="00141E89">
      <w:pPr>
        <w:spacing w:line="480" w:lineRule="auto"/>
        <w:ind w:firstLine="720"/>
        <w:rPr>
          <w:rFonts w:ascii="Times New Roman" w:hAnsi="Times New Roman" w:cs="Times New Roman"/>
          <w:sz w:val="24"/>
          <w:szCs w:val="24"/>
        </w:rPr>
      </w:pPr>
      <w:r w:rsidRPr="00141E89">
        <w:rPr>
          <w:rFonts w:ascii="Times New Roman" w:hAnsi="Times New Roman" w:cs="Times New Roman"/>
          <w:sz w:val="24"/>
          <w:szCs w:val="24"/>
        </w:rPr>
        <w:t xml:space="preserve">Eventually, 52 Jakuns were granted compensation by the Johor high court in the year 1997 for the forfeiture of 53,272 acres of ancestral lands. The Land was leased to the Public Utilities Board of Singapore from the state government to subsequently construct a dam to source water to Johor and Singapore. According to the Justice Mokhtar, Jakuns had registered rights over their plots with no alienable concern of the Land. In this case, as much as the Jakuns are not legally titled to their traditional Land, they are permitted to use it for their domestic needs. Fundamentally, certain portions of lands were reserved for aboriginal people </w:t>
      </w:r>
      <w:r w:rsidRPr="00141E89">
        <w:rPr>
          <w:rFonts w:ascii="Times New Roman" w:hAnsi="Times New Roman" w:cs="Times New Roman"/>
          <w:sz w:val="24"/>
          <w:szCs w:val="24"/>
        </w:rPr>
        <w:lastRenderedPageBreak/>
        <w:t xml:space="preserve">by the ruling of the Court, which enhances them to have rights of hunting and gathering. Consequently, they are permitted to live on the lands as their ancestors did.  </w:t>
      </w:r>
    </w:p>
    <w:p w:rsidR="00141E89" w:rsidRPr="00141E89" w:rsidRDefault="00141E89" w:rsidP="00141E89">
      <w:pPr>
        <w:spacing w:line="480" w:lineRule="auto"/>
        <w:ind w:firstLine="720"/>
        <w:rPr>
          <w:rFonts w:ascii="Times New Roman" w:hAnsi="Times New Roman" w:cs="Times New Roman"/>
          <w:sz w:val="24"/>
          <w:szCs w:val="24"/>
        </w:rPr>
      </w:pPr>
      <w:r w:rsidRPr="00141E89">
        <w:rPr>
          <w:rFonts w:ascii="Times New Roman" w:hAnsi="Times New Roman" w:cs="Times New Roman"/>
          <w:sz w:val="24"/>
          <w:szCs w:val="24"/>
        </w:rPr>
        <w:t>Article 13 of the national constitution shielded the proprietary constitutional rights by demanding fair compensation for the taking of assets. As a result, the Jakuns benefited from an award of RM26.5million to incur for their loss of income for 25 years. Eventually, the total sum of money with an incurred interest amounted to RM38 million was incurred. The Court of Appeal had passed the judgment in the year 1998. However, the Court did not leave any appeal to the Federal Court.</w:t>
      </w:r>
    </w:p>
    <w:p w:rsidR="00887AAB" w:rsidRDefault="00141E89" w:rsidP="00141E89">
      <w:pPr>
        <w:spacing w:line="480" w:lineRule="auto"/>
        <w:ind w:firstLine="720"/>
        <w:rPr>
          <w:rFonts w:ascii="Times New Roman" w:hAnsi="Times New Roman" w:cs="Times New Roman"/>
          <w:sz w:val="24"/>
          <w:szCs w:val="24"/>
        </w:rPr>
      </w:pPr>
      <w:r w:rsidRPr="00141E89">
        <w:rPr>
          <w:rFonts w:ascii="Times New Roman" w:hAnsi="Times New Roman" w:cs="Times New Roman"/>
          <w:sz w:val="24"/>
          <w:szCs w:val="24"/>
        </w:rPr>
        <w:t>In summation, the department of the Orang Asli consigned by the regime facilitated the various objectives on the interest of the affairs of the government. The core objectives facilitated by this department were the eradication of poverty, improvement of health facilities as well as promoting the levels of education. The government worked to legally prevent the traditional Land of the Orang Asli, as well as give them a compensation fee of a considerable amount of money to settle their land rights.</w:t>
      </w:r>
    </w:p>
    <w:p w:rsidR="00887AAB" w:rsidRDefault="00887AAB" w:rsidP="00DE2B8D">
      <w:pPr>
        <w:spacing w:line="480" w:lineRule="auto"/>
        <w:jc w:val="center"/>
        <w:rPr>
          <w:rFonts w:ascii="Times New Roman" w:hAnsi="Times New Roman" w:cs="Times New Roman"/>
          <w:sz w:val="24"/>
          <w:szCs w:val="24"/>
        </w:rPr>
      </w:pPr>
    </w:p>
    <w:p w:rsidR="00887AAB" w:rsidRDefault="00887AAB" w:rsidP="00DE2B8D">
      <w:pPr>
        <w:spacing w:line="480" w:lineRule="auto"/>
        <w:jc w:val="center"/>
        <w:rPr>
          <w:rFonts w:ascii="Times New Roman" w:hAnsi="Times New Roman" w:cs="Times New Roman"/>
          <w:sz w:val="24"/>
          <w:szCs w:val="24"/>
        </w:rPr>
      </w:pPr>
    </w:p>
    <w:p w:rsidR="00887AAB" w:rsidRDefault="00887AAB" w:rsidP="00DE2B8D">
      <w:pPr>
        <w:spacing w:line="480" w:lineRule="auto"/>
        <w:jc w:val="center"/>
        <w:rPr>
          <w:rFonts w:ascii="Times New Roman" w:hAnsi="Times New Roman" w:cs="Times New Roman"/>
          <w:sz w:val="24"/>
          <w:szCs w:val="24"/>
        </w:rPr>
      </w:pPr>
    </w:p>
    <w:p w:rsidR="00887AAB" w:rsidRDefault="00887AAB" w:rsidP="00DE2B8D">
      <w:pPr>
        <w:spacing w:line="480" w:lineRule="auto"/>
        <w:jc w:val="center"/>
        <w:rPr>
          <w:rFonts w:ascii="Times New Roman" w:hAnsi="Times New Roman" w:cs="Times New Roman"/>
          <w:sz w:val="24"/>
          <w:szCs w:val="24"/>
        </w:rPr>
      </w:pPr>
    </w:p>
    <w:p w:rsidR="00887AAB" w:rsidRDefault="00887AAB" w:rsidP="00986EE9">
      <w:pPr>
        <w:spacing w:line="480" w:lineRule="auto"/>
        <w:rPr>
          <w:rFonts w:ascii="Times New Roman" w:hAnsi="Times New Roman" w:cs="Times New Roman"/>
          <w:sz w:val="24"/>
          <w:szCs w:val="24"/>
        </w:rPr>
      </w:pPr>
    </w:p>
    <w:p w:rsidR="00C668D9" w:rsidRDefault="00C668D9" w:rsidP="00327D3B">
      <w:pPr>
        <w:spacing w:line="480" w:lineRule="auto"/>
        <w:rPr>
          <w:rFonts w:ascii="Times New Roman" w:hAnsi="Times New Roman" w:cs="Times New Roman"/>
          <w:sz w:val="24"/>
          <w:szCs w:val="24"/>
        </w:rPr>
      </w:pPr>
    </w:p>
    <w:sectPr w:rsidR="00C668D9" w:rsidSect="00887AA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019" w:rsidRDefault="00B21019">
      <w:pPr>
        <w:spacing w:after="0" w:line="240" w:lineRule="auto"/>
      </w:pPr>
      <w:r>
        <w:separator/>
      </w:r>
    </w:p>
  </w:endnote>
  <w:endnote w:type="continuationSeparator" w:id="1">
    <w:p w:rsidR="00B21019" w:rsidRDefault="00B210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019" w:rsidRDefault="00B21019">
      <w:pPr>
        <w:spacing w:after="0" w:line="240" w:lineRule="auto"/>
      </w:pPr>
      <w:r>
        <w:separator/>
      </w:r>
    </w:p>
  </w:footnote>
  <w:footnote w:type="continuationSeparator" w:id="1">
    <w:p w:rsidR="00B21019" w:rsidRDefault="00B210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AAB" w:rsidRPr="00887AAB" w:rsidRDefault="000A24BA" w:rsidP="00887AAB">
    <w:pPr>
      <w:pStyle w:val="Normal1"/>
      <w:spacing w:line="360" w:lineRule="auto"/>
      <w:rPr>
        <w:rFonts w:ascii="Times New Roman" w:hAnsi="Times New Roman" w:cs="Times New Roman"/>
        <w:color w:val="0E101A"/>
        <w:sz w:val="24"/>
        <w:szCs w:val="24"/>
      </w:rPr>
    </w:pPr>
    <w:r>
      <w:rPr>
        <w:rFonts w:ascii="Times New Roman" w:hAnsi="Times New Roman" w:cs="Times New Roman"/>
        <w:color w:val="0E101A"/>
        <w:sz w:val="24"/>
        <w:szCs w:val="24"/>
      </w:rPr>
      <w:t>ORANG ASLI RIGHTS</w:t>
    </w:r>
    <w:r w:rsidR="00141E89">
      <w:rPr>
        <w:rFonts w:ascii="Times New Roman" w:hAnsi="Times New Roman" w:cs="Times New Roman"/>
        <w:color w:val="0E101A"/>
        <w:sz w:val="24"/>
        <w:szCs w:val="24"/>
      </w:rPr>
      <w:t xml:space="preserve">                                                                         </w:t>
    </w:r>
    <w:r w:rsidR="00327D3B">
      <w:rPr>
        <w:rFonts w:ascii="Times New Roman" w:hAnsi="Times New Roman" w:cs="Times New Roman"/>
        <w:color w:val="0E101A"/>
        <w:sz w:val="24"/>
        <w:szCs w:val="24"/>
      </w:rPr>
      <w:t xml:space="preserve">                       </w:t>
    </w:r>
    <w:r w:rsidR="00EE61AC" w:rsidRPr="00887AAB">
      <w:rPr>
        <w:rFonts w:ascii="Times New Roman" w:hAnsi="Times New Roman" w:cs="Times New Roman"/>
        <w:color w:val="0E101A"/>
        <w:sz w:val="24"/>
        <w:szCs w:val="24"/>
      </w:rPr>
      <w:fldChar w:fldCharType="begin"/>
    </w:r>
    <w:r w:rsidR="00055D7A" w:rsidRPr="00887AAB">
      <w:rPr>
        <w:rFonts w:ascii="Times New Roman" w:hAnsi="Times New Roman" w:cs="Times New Roman"/>
        <w:color w:val="0E101A"/>
        <w:sz w:val="24"/>
        <w:szCs w:val="24"/>
      </w:rPr>
      <w:instrText xml:space="preserve"> PAGE   \* MERGEFORMAT </w:instrText>
    </w:r>
    <w:r w:rsidR="00EE61AC" w:rsidRPr="00887AAB">
      <w:rPr>
        <w:rFonts w:ascii="Times New Roman" w:hAnsi="Times New Roman" w:cs="Times New Roman"/>
        <w:color w:val="0E101A"/>
        <w:sz w:val="24"/>
        <w:szCs w:val="24"/>
      </w:rPr>
      <w:fldChar w:fldCharType="separate"/>
    </w:r>
    <w:r w:rsidR="00CE3142">
      <w:rPr>
        <w:rFonts w:ascii="Times New Roman" w:hAnsi="Times New Roman" w:cs="Times New Roman"/>
        <w:noProof/>
        <w:color w:val="0E101A"/>
        <w:sz w:val="24"/>
        <w:szCs w:val="24"/>
      </w:rPr>
      <w:t>2</w:t>
    </w:r>
    <w:r w:rsidR="00EE61AC" w:rsidRPr="00887AAB">
      <w:rPr>
        <w:rFonts w:ascii="Times New Roman" w:hAnsi="Times New Roman" w:cs="Times New Roman"/>
        <w:noProof/>
        <w:color w:val="0E101A"/>
        <w:sz w:val="24"/>
        <w:szCs w:val="24"/>
      </w:rPr>
      <w:fldChar w:fldCharType="end"/>
    </w:r>
  </w:p>
  <w:p w:rsidR="00887AAB" w:rsidRDefault="00887A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AAB" w:rsidRPr="00887AAB" w:rsidRDefault="00055D7A" w:rsidP="00887AAB">
    <w:pPr>
      <w:pStyle w:val="Normal1"/>
      <w:spacing w:line="360" w:lineRule="auto"/>
      <w:rPr>
        <w:rFonts w:ascii="Times New Roman" w:hAnsi="Times New Roman" w:cs="Times New Roman"/>
        <w:color w:val="0E101A"/>
        <w:sz w:val="24"/>
        <w:szCs w:val="24"/>
      </w:rPr>
    </w:pPr>
    <w:r w:rsidRPr="00887AAB">
      <w:rPr>
        <w:rFonts w:ascii="Times New Roman" w:hAnsi="Times New Roman" w:cs="Times New Roman"/>
        <w:sz w:val="24"/>
        <w:szCs w:val="24"/>
      </w:rPr>
      <w:t xml:space="preserve">Running Head: </w:t>
    </w:r>
    <w:r w:rsidRPr="00887AAB">
      <w:rPr>
        <w:rFonts w:ascii="Times New Roman" w:hAnsi="Times New Roman" w:cs="Times New Roman"/>
        <w:color w:val="0E101A"/>
        <w:sz w:val="24"/>
        <w:szCs w:val="24"/>
      </w:rPr>
      <w:t>ORANG ASLI RIGHTS</w:t>
    </w:r>
    <w:r w:rsidR="00141E89">
      <w:rPr>
        <w:rFonts w:ascii="Times New Roman" w:hAnsi="Times New Roman" w:cs="Times New Roman"/>
        <w:color w:val="0E101A"/>
        <w:sz w:val="24"/>
        <w:szCs w:val="24"/>
      </w:rPr>
      <w:t xml:space="preserve">                                                                          </w:t>
    </w:r>
    <w:r w:rsidRPr="00887AAB">
      <w:rPr>
        <w:rFonts w:ascii="Times New Roman" w:hAnsi="Times New Roman" w:cs="Times New Roman"/>
        <w:color w:val="0E101A"/>
        <w:sz w:val="24"/>
        <w:szCs w:val="24"/>
      </w:rPr>
      <w:t xml:space="preserve">  </w:t>
    </w:r>
    <w:r w:rsidR="00EE61AC" w:rsidRPr="00887AAB">
      <w:rPr>
        <w:rFonts w:ascii="Times New Roman" w:hAnsi="Times New Roman" w:cs="Times New Roman"/>
        <w:color w:val="0E101A"/>
        <w:sz w:val="24"/>
        <w:szCs w:val="24"/>
      </w:rPr>
      <w:fldChar w:fldCharType="begin"/>
    </w:r>
    <w:r w:rsidRPr="00887AAB">
      <w:rPr>
        <w:rFonts w:ascii="Times New Roman" w:hAnsi="Times New Roman" w:cs="Times New Roman"/>
        <w:color w:val="0E101A"/>
        <w:sz w:val="24"/>
        <w:szCs w:val="24"/>
      </w:rPr>
      <w:instrText xml:space="preserve"> PAGE   \* MERGEFORMAT </w:instrText>
    </w:r>
    <w:r w:rsidR="00EE61AC" w:rsidRPr="00887AAB">
      <w:rPr>
        <w:rFonts w:ascii="Times New Roman" w:hAnsi="Times New Roman" w:cs="Times New Roman"/>
        <w:color w:val="0E101A"/>
        <w:sz w:val="24"/>
        <w:szCs w:val="24"/>
      </w:rPr>
      <w:fldChar w:fldCharType="separate"/>
    </w:r>
    <w:r w:rsidR="00CE3142">
      <w:rPr>
        <w:rFonts w:ascii="Times New Roman" w:hAnsi="Times New Roman" w:cs="Times New Roman"/>
        <w:noProof/>
        <w:color w:val="0E101A"/>
        <w:sz w:val="24"/>
        <w:szCs w:val="24"/>
      </w:rPr>
      <w:t>1</w:t>
    </w:r>
    <w:r w:rsidR="00EE61AC" w:rsidRPr="00887AAB">
      <w:rPr>
        <w:rFonts w:ascii="Times New Roman" w:hAnsi="Times New Roman" w:cs="Times New Roman"/>
        <w:noProof/>
        <w:color w:val="0E101A"/>
        <w:sz w:val="24"/>
        <w:szCs w:val="24"/>
      </w:rPr>
      <w:fldChar w:fldCharType="end"/>
    </w:r>
  </w:p>
  <w:p w:rsidR="00887AAB" w:rsidRDefault="00887AA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0903"/>
    <w:rsid w:val="00012542"/>
    <w:rsid w:val="00042B8C"/>
    <w:rsid w:val="00053AFC"/>
    <w:rsid w:val="00055D7A"/>
    <w:rsid w:val="000816FD"/>
    <w:rsid w:val="00082EBB"/>
    <w:rsid w:val="000A24BA"/>
    <w:rsid w:val="00100FEC"/>
    <w:rsid w:val="00122550"/>
    <w:rsid w:val="00141E89"/>
    <w:rsid w:val="0015377F"/>
    <w:rsid w:val="001714D6"/>
    <w:rsid w:val="00187EE7"/>
    <w:rsid w:val="002524FE"/>
    <w:rsid w:val="0026370B"/>
    <w:rsid w:val="00285244"/>
    <w:rsid w:val="002E23AF"/>
    <w:rsid w:val="002F28E3"/>
    <w:rsid w:val="002F6F1A"/>
    <w:rsid w:val="00327D3B"/>
    <w:rsid w:val="003454BA"/>
    <w:rsid w:val="003500C4"/>
    <w:rsid w:val="00370D7A"/>
    <w:rsid w:val="003C68DB"/>
    <w:rsid w:val="00446858"/>
    <w:rsid w:val="00447545"/>
    <w:rsid w:val="004C3EE4"/>
    <w:rsid w:val="00524C78"/>
    <w:rsid w:val="00550036"/>
    <w:rsid w:val="005936B1"/>
    <w:rsid w:val="005C15EA"/>
    <w:rsid w:val="005D6F26"/>
    <w:rsid w:val="00655487"/>
    <w:rsid w:val="006C352A"/>
    <w:rsid w:val="006D3A39"/>
    <w:rsid w:val="007351EB"/>
    <w:rsid w:val="00773A40"/>
    <w:rsid w:val="007B0CCA"/>
    <w:rsid w:val="007D103F"/>
    <w:rsid w:val="00850E63"/>
    <w:rsid w:val="00865764"/>
    <w:rsid w:val="00887AAB"/>
    <w:rsid w:val="008A6FCD"/>
    <w:rsid w:val="008F0903"/>
    <w:rsid w:val="00905286"/>
    <w:rsid w:val="009523B5"/>
    <w:rsid w:val="00986EE9"/>
    <w:rsid w:val="00995163"/>
    <w:rsid w:val="00996494"/>
    <w:rsid w:val="00A21DB8"/>
    <w:rsid w:val="00A36B08"/>
    <w:rsid w:val="00A7765A"/>
    <w:rsid w:val="00AC0D47"/>
    <w:rsid w:val="00AE4DC3"/>
    <w:rsid w:val="00B16990"/>
    <w:rsid w:val="00B21019"/>
    <w:rsid w:val="00BC5857"/>
    <w:rsid w:val="00BE05AD"/>
    <w:rsid w:val="00BF6968"/>
    <w:rsid w:val="00C668D9"/>
    <w:rsid w:val="00C701DE"/>
    <w:rsid w:val="00CA3BBD"/>
    <w:rsid w:val="00CE3142"/>
    <w:rsid w:val="00D338CE"/>
    <w:rsid w:val="00D65A0E"/>
    <w:rsid w:val="00D6732F"/>
    <w:rsid w:val="00DE2B8D"/>
    <w:rsid w:val="00ED6944"/>
    <w:rsid w:val="00EE61AC"/>
    <w:rsid w:val="00EF1973"/>
    <w:rsid w:val="00F51F7B"/>
    <w:rsid w:val="00F902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1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E2B8D"/>
    <w:pPr>
      <w:spacing w:after="0" w:line="276" w:lineRule="auto"/>
    </w:pPr>
    <w:rPr>
      <w:rFonts w:ascii="Arial" w:eastAsia="Arial" w:hAnsi="Arial" w:cs="Arial"/>
    </w:rPr>
  </w:style>
  <w:style w:type="character" w:styleId="Hyperlink">
    <w:name w:val="Hyperlink"/>
    <w:basedOn w:val="DefaultParagraphFont"/>
    <w:uiPriority w:val="99"/>
    <w:unhideWhenUsed/>
    <w:rsid w:val="00DE2B8D"/>
    <w:rPr>
      <w:color w:val="0563C1" w:themeColor="hyperlink"/>
      <w:u w:val="single"/>
    </w:rPr>
  </w:style>
  <w:style w:type="paragraph" w:styleId="Header">
    <w:name w:val="header"/>
    <w:basedOn w:val="Normal"/>
    <w:link w:val="HeaderChar"/>
    <w:uiPriority w:val="99"/>
    <w:unhideWhenUsed/>
    <w:rsid w:val="00887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AAB"/>
  </w:style>
  <w:style w:type="paragraph" w:styleId="Footer">
    <w:name w:val="footer"/>
    <w:basedOn w:val="Normal"/>
    <w:link w:val="FooterChar"/>
    <w:uiPriority w:val="99"/>
    <w:unhideWhenUsed/>
    <w:rsid w:val="00887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AAB"/>
  </w:style>
  <w:style w:type="character" w:styleId="FollowedHyperlink">
    <w:name w:val="FollowedHyperlink"/>
    <w:basedOn w:val="DefaultParagraphFont"/>
    <w:uiPriority w:val="99"/>
    <w:semiHidden/>
    <w:unhideWhenUsed/>
    <w:rsid w:val="000816FD"/>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dc:creator>
  <cp:lastModifiedBy>ADM</cp:lastModifiedBy>
  <cp:revision>3</cp:revision>
  <dcterms:created xsi:type="dcterms:W3CDTF">2020-04-21T21:06:00Z</dcterms:created>
  <dcterms:modified xsi:type="dcterms:W3CDTF">2020-04-21T21:06:00Z</dcterms:modified>
</cp:coreProperties>
</file>